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D8419" w14:textId="77777777" w:rsidR="00DA55C5" w:rsidRDefault="00000000">
      <w:pPr>
        <w:shd w:val="clear" w:color="auto" w:fill="FFFFFF"/>
        <w:spacing w:after="0" w:line="330" w:lineRule="atLeast"/>
        <w:ind w:left="1560"/>
        <w:jc w:val="center"/>
        <w:outlineLvl w:val="2"/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</w:pPr>
      <w:bookmarkStart w:id="0" w:name="_Hlk188092817"/>
      <w:r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  <w:t xml:space="preserve">„Podpora dostupného bydlení na ul. </w:t>
      </w:r>
    </w:p>
    <w:p w14:paraId="2AD17EC3" w14:textId="77777777" w:rsidR="00DA55C5" w:rsidRDefault="00000000">
      <w:pPr>
        <w:shd w:val="clear" w:color="auto" w:fill="FFFFFF"/>
        <w:spacing w:after="0" w:line="330" w:lineRule="atLeast"/>
        <w:ind w:left="1560"/>
        <w:jc w:val="center"/>
        <w:outlineLvl w:val="2"/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48"/>
          <w:szCs w:val="48"/>
          <w:lang w:eastAsia="cs-CZ"/>
          <w14:ligatures w14:val="none"/>
        </w:rPr>
        <w:t xml:space="preserve">   Tovární č. 314/27“</w:t>
      </w:r>
    </w:p>
    <w:bookmarkEnd w:id="0"/>
    <w:p w14:paraId="41F8C3D9" w14:textId="77777777" w:rsidR="00DA55C5" w:rsidRDefault="00DA55C5">
      <w:pPr>
        <w:shd w:val="clear" w:color="auto" w:fill="FFFFFF"/>
        <w:spacing w:after="0" w:line="330" w:lineRule="atLeast"/>
        <w:ind w:left="3742"/>
        <w:outlineLvl w:val="2"/>
        <w:rPr>
          <w:rFonts w:ascii="Arial" w:eastAsia="Times New Roman" w:hAnsi="Arial" w:cs="Arial"/>
          <w:b/>
          <w:bCs/>
          <w:kern w:val="0"/>
          <w:lang w:eastAsia="cs-CZ"/>
          <w14:ligatures w14:val="none"/>
        </w:rPr>
      </w:pPr>
    </w:p>
    <w:p w14:paraId="7F7E40D5" w14:textId="2E6AF694" w:rsidR="00DA55C5" w:rsidRDefault="00000000">
      <w:pPr>
        <w:shd w:val="clear" w:color="auto" w:fill="FFFFFF"/>
        <w:spacing w:after="0" w:line="330" w:lineRule="atLeast"/>
        <w:outlineLvl w:val="2"/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  <w:t xml:space="preserve">         Dokumentace pro p</w:t>
      </w:r>
      <w:r w:rsidR="008F574D"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  <w:t>rovádění</w:t>
      </w:r>
      <w:r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  <w:t xml:space="preserve"> stavby</w:t>
      </w:r>
    </w:p>
    <w:p w14:paraId="298A25E3" w14:textId="77777777" w:rsidR="00DA55C5" w:rsidRDefault="00DA55C5">
      <w:pPr>
        <w:shd w:val="clear" w:color="auto" w:fill="FFFFFF"/>
        <w:spacing w:after="0" w:line="330" w:lineRule="atLeast"/>
        <w:outlineLvl w:val="2"/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</w:pPr>
    </w:p>
    <w:p w14:paraId="33DC4EB5" w14:textId="77777777" w:rsidR="00DA55C5" w:rsidRPr="00842085" w:rsidRDefault="00000000" w:rsidP="00842085">
      <w:pPr>
        <w:shd w:val="clear" w:color="auto" w:fill="FFFFFF"/>
        <w:spacing w:after="0" w:line="330" w:lineRule="atLeast"/>
        <w:outlineLvl w:val="2"/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</w:pPr>
      <w:r w:rsidRPr="00842085">
        <w:rPr>
          <w:rFonts w:ascii="Arial" w:eastAsia="Times New Roman" w:hAnsi="Arial" w:cs="Arial"/>
          <w:b/>
          <w:bCs/>
          <w:kern w:val="0"/>
          <w:sz w:val="40"/>
          <w:szCs w:val="40"/>
          <w:lang w:eastAsia="cs-CZ"/>
          <w14:ligatures w14:val="none"/>
        </w:rPr>
        <w:t>A Průvodní list</w:t>
      </w:r>
    </w:p>
    <w:p w14:paraId="25C4360B" w14:textId="77777777" w:rsidR="00DA55C5" w:rsidRDefault="00DA55C5">
      <w:pPr>
        <w:shd w:val="clear" w:color="auto" w:fill="FFFFFF"/>
        <w:spacing w:after="0" w:line="330" w:lineRule="atLeast"/>
        <w:ind w:left="1560"/>
        <w:outlineLvl w:val="2"/>
        <w:rPr>
          <w:rFonts w:ascii="Arial" w:eastAsia="Times New Roman" w:hAnsi="Arial" w:cs="Arial"/>
          <w:b/>
          <w:bCs/>
          <w:kern w:val="0"/>
          <w:lang w:eastAsia="cs-CZ"/>
          <w14:ligatures w14:val="none"/>
        </w:rPr>
      </w:pPr>
    </w:p>
    <w:p w14:paraId="735A17FD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A.1 Identifikační údaje</w:t>
      </w:r>
    </w:p>
    <w:p w14:paraId="6257368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A.1.1 Údaje o stavbě</w:t>
      </w:r>
    </w:p>
    <w:p w14:paraId="46D2B46D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název stavby,</w:t>
      </w:r>
    </w:p>
    <w:p w14:paraId="1C6090F7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3FA625A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„Podpora dostupného bydlení na ul. Tovární č. 314/27“</w:t>
      </w:r>
    </w:p>
    <w:p w14:paraId="63FE596B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</w:p>
    <w:p w14:paraId="2FB94619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Investor:</w:t>
      </w:r>
    </w:p>
    <w:p w14:paraId="71C2F9F5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město Český Těšín</w:t>
      </w:r>
    </w:p>
    <w:p w14:paraId="5FFC13C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se sídlem:nám. ČSA 1/1, 737 01 Český Těšín</w:t>
      </w:r>
    </w:p>
    <w:p w14:paraId="648FA929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76596B0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b)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místo stavby - kraj, katastrální území, parcelní čísla pozemků, u budov adresa a čísla popisná, výčet pozemků s právem zákonné služebnosti, parcelní čísla pozemků zařízení staveniště,</w:t>
      </w:r>
    </w:p>
    <w:p w14:paraId="5F6AC86C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1E97C6F4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Kraj Moravskoslezský</w:t>
      </w:r>
    </w:p>
    <w:p w14:paraId="3FB851D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k.ú.Český Těšín</w:t>
      </w:r>
    </w:p>
    <w:p w14:paraId="1D2763DE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Český těšín 737 01</w:t>
      </w:r>
    </w:p>
    <w:p w14:paraId="0B2F042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Ul.Tovární 314/27</w:t>
      </w:r>
    </w:p>
    <w:p w14:paraId="25C02BF5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58632846" w14:textId="2396BCD3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p.čísla pozemků 563 , 564/1</w:t>
      </w:r>
      <w:r w:rsidR="00BE48D0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, 562/1</w:t>
      </w:r>
    </w:p>
    <w:p w14:paraId="6F0CF033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p.číslo zařízení staveniště 564/1</w:t>
      </w:r>
    </w:p>
    <w:p w14:paraId="5E67CE82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4F6A4657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5313E63C" w14:textId="62257A8F" w:rsidR="002A0146" w:rsidRDefault="002A0146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Poznámka :</w:t>
      </w:r>
    </w:p>
    <w:p w14:paraId="5284540E" w14:textId="0AEB037B" w:rsidR="002A0146" w:rsidRDefault="002A0146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Sousední nemovitost p.č. 563 může být dotčena demontáží plotu v délce cca 1,5 m při stavbě lešení pro zateplování. Po provedení prací bude demontována část plotu uvedena do funkčního stavu.</w:t>
      </w:r>
    </w:p>
    <w:p w14:paraId="34D9294F" w14:textId="045A2587" w:rsidR="006641AA" w:rsidRDefault="006641AA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Tabulka majitelů nemovitostí (SVJ) je uvedena na situacích katastrální a koordinační. Zákonný souhlas členů výboru SVJ je doložen na samostatné situaci, která je nedílnou součástí PD-část C.</w:t>
      </w:r>
    </w:p>
    <w:p w14:paraId="3474C679" w14:textId="77777777" w:rsidR="002A0146" w:rsidRDefault="002A0146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3B194DC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c)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předmět dokumentace - nová stavba nebo změna dokončené stavby, trvalá nebo dočasná stavba, účel užívání stavby</w:t>
      </w:r>
    </w:p>
    <w:p w14:paraId="54C97A6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.</w:t>
      </w:r>
    </w:p>
    <w:p w14:paraId="506A64BD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změna dokončené stavby</w:t>
      </w:r>
    </w:p>
    <w:p w14:paraId="1CA788E5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623B71B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A.1.2 Údaje o zpracovateli dokumentace</w:t>
      </w:r>
    </w:p>
    <w:p w14:paraId="1D85452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</w:p>
    <w:p w14:paraId="1CB9D4D0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2025F08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BMCH s.r.o.</w:t>
      </w:r>
    </w:p>
    <w:p w14:paraId="6A89310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28. října 1142/168</w:t>
      </w:r>
    </w:p>
    <w:p w14:paraId="2C2AA60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709 00 Ostrava – Mariánské Hory</w:t>
      </w:r>
    </w:p>
    <w:p w14:paraId="7B30DF4A" w14:textId="63927DEE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IČ: 483 94</w:t>
      </w:r>
      <w:r w:rsidR="002A0146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190</w:t>
      </w:r>
    </w:p>
    <w:p w14:paraId="1CF31E49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4801E49C" w14:textId="77777777" w:rsidR="002A0146" w:rsidRDefault="002A0146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6EC2291F" w14:textId="77777777" w:rsidR="006641AA" w:rsidRDefault="006641AA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71E2A9D3" w14:textId="77777777" w:rsidR="006641AA" w:rsidRDefault="006641AA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35DD887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lastRenderedPageBreak/>
        <w:t>b)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</w:p>
    <w:p w14:paraId="0ECA4FE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 xml:space="preserve">     </w:t>
      </w:r>
    </w:p>
    <w:p w14:paraId="0267E348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 ing.arch.Czeslaw Mendrek</w:t>
      </w:r>
    </w:p>
    <w:p w14:paraId="6686E18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     č.aut. ČKA  02049 ,tzv.“velká“ autorizace</w:t>
      </w:r>
    </w:p>
    <w:p w14:paraId="5F86BD81" w14:textId="77777777" w:rsidR="00DA55C5" w:rsidRDefault="00DA55C5">
      <w:p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4F20D6F4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39E3275B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c)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</w:t>
      </w:r>
    </w:p>
    <w:p w14:paraId="5A69AA4B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- stavebně technické řešení, technická koordinace, situace</w:t>
      </w:r>
    </w:p>
    <w:p w14:paraId="22B6F01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p. Radim Bulawa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</w:p>
    <w:p w14:paraId="5F256AF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Nádražní 2775/145, 702 00, Ostrava  </w:t>
      </w:r>
    </w:p>
    <w:p w14:paraId="39853995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kancelář : Hrabákova 5, 702 00 Ostrava</w:t>
      </w:r>
    </w:p>
    <w:p w14:paraId="46FED74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tel. - 603379844  e-mail: bulawa@atelier5.cz</w:t>
      </w:r>
    </w:p>
    <w:p w14:paraId="3995A9F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- stavebně konstrukční řešení</w:t>
      </w:r>
    </w:p>
    <w:p w14:paraId="3DA552A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Ing. Robin Kulhánek</w:t>
      </w:r>
    </w:p>
    <w:p w14:paraId="0A608AD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- požárně bezpečnostní řešení</w:t>
      </w:r>
    </w:p>
    <w:p w14:paraId="34BA259B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ing.Jana Folwarczná , JFolwarczna@seznam.cz, 608725822 </w:t>
      </w:r>
    </w:p>
    <w:p w14:paraId="64416F3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zapsán v seznamu autorizovaných osob vedeném ČKAIT : č.1101979</w:t>
      </w:r>
    </w:p>
    <w:p w14:paraId="3D539A5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- zdravotně technické instalace, topení</w:t>
      </w:r>
    </w:p>
    <w:p w14:paraId="4B55F3B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Ing. Petr Skála</w:t>
      </w:r>
    </w:p>
    <w:p w14:paraId="3B74B9E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Krátká 1933/3</w:t>
      </w:r>
    </w:p>
    <w:p w14:paraId="080DCD9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733 01 Karviná-Hranice</w:t>
      </w:r>
    </w:p>
    <w:p w14:paraId="14958D9A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tel. 605 770433, e-mail: petskala@seznam.cz</w:t>
      </w:r>
    </w:p>
    <w:p w14:paraId="4865FBB3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zapsán v seznamu autorizovaných osob vedeném ČKAIT : č.0002315</w:t>
      </w:r>
    </w:p>
    <w:p w14:paraId="0B75E90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NN, silnoproudá elektrotechnika, slaboproud</w:t>
      </w:r>
    </w:p>
    <w:p w14:paraId="457A8E8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Ing. Nezval, PhD – EL silno-slaboproud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</w:p>
    <w:p w14:paraId="09BBE0F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tel. 605310610, mail: josef.nezval@centrum.cz  </w:t>
      </w:r>
    </w:p>
    <w:p w14:paraId="07B11AA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zapsán v seznamu autorizovaných osob vedeném ČKAIT : č.1102559</w:t>
      </w:r>
    </w:p>
    <w:p w14:paraId="305731E2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- </w:t>
      </w:r>
      <w:r>
        <w:rPr>
          <w:rFonts w:ascii="Arial" w:eastAsia="Times New Roman" w:hAnsi="Arial" w:cs="Arial"/>
          <w:kern w:val="0"/>
          <w:sz w:val="20"/>
          <w:szCs w:val="20"/>
          <w:u w:val="single"/>
          <w:lang w:eastAsia="cs-CZ"/>
          <w14:ligatures w14:val="none"/>
        </w:rPr>
        <w:t>vzduchotechnika, klimatizace</w:t>
      </w:r>
    </w:p>
    <w:p w14:paraId="1C21891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atelier TopKLIMA s.r.o., Klicperova 614/22, 70900 Ostrava Mariánské Hory</w:t>
      </w:r>
    </w:p>
    <w:p w14:paraId="4D93FC1C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26B9577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d)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jméno, popřípadě jména a příjmení autorizovaného zeměměřického inženýra včetně čísla položky, pod kterým je veden v rejstříku autorizovaných zeměměřických inženýrů u České komory zeměměřičů.</w:t>
      </w:r>
    </w:p>
    <w:p w14:paraId="2F5D13BF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20CB63F9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Ing.Kazimierz Gaura , </w:t>
      </w:r>
    </w:p>
    <w:p w14:paraId="35C71C4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č.p.1097</w:t>
      </w:r>
    </w:p>
    <w:p w14:paraId="32949AF2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0A0916E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A.2 Seznam vstupních podkladů</w:t>
      </w:r>
    </w:p>
    <w:p w14:paraId="19BF448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A.3 TEA - technicko-ekonomické atributy budov</w:t>
      </w:r>
    </w:p>
    <w:p w14:paraId="59B3B405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a)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obestavěný prostor,</w:t>
      </w:r>
    </w:p>
    <w:p w14:paraId="5E0E15A2" w14:textId="77777777" w:rsidR="00DA55C5" w:rsidRDefault="00DA55C5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</w:p>
    <w:p w14:paraId="5D60BE51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b/>
          <w:bCs/>
          <w:sz w:val="20"/>
          <w:szCs w:val="20"/>
          <w:lang w:eastAsia="ar-SA"/>
          <w14:ligatures w14:val="none"/>
        </w:rPr>
        <w:t xml:space="preserve">Stávající stav : </w:t>
      </w:r>
      <w:r>
        <w:rPr>
          <w:rFonts w:ascii="Arial" w:eastAsia="SimSun" w:hAnsi="Arial" w:cs="font1263"/>
          <w:b/>
          <w:bCs/>
          <w:sz w:val="20"/>
          <w:szCs w:val="20"/>
          <w:lang w:eastAsia="ar-SA"/>
          <w14:ligatures w14:val="none"/>
        </w:rPr>
        <w:tab/>
      </w: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ab/>
      </w:r>
    </w:p>
    <w:p w14:paraId="63721ACA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Základy + 1.pp … 71,+ 154,0 = 225 m3</w:t>
      </w:r>
    </w:p>
    <w:p w14:paraId="2B7AB0C5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1.np … 630,0 m3</w:t>
      </w:r>
    </w:p>
    <w:p w14:paraId="1CDC32EF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2.np … 576,0 m3</w:t>
      </w:r>
    </w:p>
    <w:p w14:paraId="469ACB99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b/>
          <w:bCs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3.np+krov … 214,0 m3</w:t>
      </w:r>
    </w:p>
    <w:p w14:paraId="3B817F14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lang w:eastAsia="ar-SA"/>
          <w14:ligatures w14:val="none"/>
        </w:rPr>
      </w:pPr>
      <w:r>
        <w:rPr>
          <w:rFonts w:ascii="Arial" w:eastAsia="SimSun" w:hAnsi="Arial" w:cs="font1263"/>
          <w:b/>
          <w:bCs/>
          <w:sz w:val="20"/>
          <w:szCs w:val="20"/>
          <w:lang w:eastAsia="ar-SA"/>
          <w14:ligatures w14:val="none"/>
        </w:rPr>
        <w:t>Celkem …...... 1645,0 m3</w:t>
      </w:r>
    </w:p>
    <w:p w14:paraId="71F4FB94" w14:textId="77777777" w:rsidR="00DA55C5" w:rsidRDefault="00DA55C5">
      <w:pPr>
        <w:suppressAutoHyphens/>
        <w:spacing w:after="11"/>
        <w:jc w:val="both"/>
        <w:rPr>
          <w:rFonts w:ascii="Arial" w:eastAsia="SimSun" w:hAnsi="Arial" w:cs="font1263"/>
          <w:lang w:eastAsia="ar-SA"/>
          <w14:ligatures w14:val="none"/>
        </w:rPr>
      </w:pPr>
    </w:p>
    <w:p w14:paraId="5E644A62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b/>
          <w:bCs/>
          <w:sz w:val="20"/>
          <w:szCs w:val="20"/>
          <w:lang w:eastAsia="ar-SA"/>
          <w14:ligatures w14:val="none"/>
        </w:rPr>
        <w:t xml:space="preserve">Nový stav : </w:t>
      </w: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ab/>
      </w:r>
    </w:p>
    <w:p w14:paraId="488687EA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 xml:space="preserve">Základy + 1.pp … 252,0 m3   </w:t>
      </w:r>
    </w:p>
    <w:p w14:paraId="6C18EE94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1.np …  658,0 m3</w:t>
      </w:r>
    </w:p>
    <w:p w14:paraId="1385840D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2.np … 608,0 m2</w:t>
      </w:r>
    </w:p>
    <w:p w14:paraId="0427A9F0" w14:textId="77777777" w:rsidR="00DA55C5" w:rsidRDefault="00000000">
      <w:pPr>
        <w:suppressAutoHyphens/>
        <w:spacing w:after="11"/>
        <w:jc w:val="both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>3.np+krov … 268 m3</w:t>
      </w:r>
    </w:p>
    <w:p w14:paraId="00AF0D0C" w14:textId="77777777" w:rsidR="00DA55C5" w:rsidRDefault="00000000">
      <w:pPr>
        <w:shd w:val="clear" w:color="auto" w:fill="FFFFFF"/>
        <w:suppressAutoHyphens/>
        <w:spacing w:after="11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ar-SA"/>
          <w14:ligatures w14:val="none"/>
        </w:rPr>
        <w:t xml:space="preserve">   Celkem …...... 1786,0 m3</w:t>
      </w:r>
    </w:p>
    <w:p w14:paraId="0B846E4B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lastRenderedPageBreak/>
        <w:t>b)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zastavěná plocha,</w:t>
      </w:r>
    </w:p>
    <w:p w14:paraId="7287D8C8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 xml:space="preserve">Stávající stav : </w:t>
      </w: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ab/>
        <w:t>177,0 m2</w:t>
      </w:r>
    </w:p>
    <w:p w14:paraId="609470EF" w14:textId="77777777" w:rsidR="00DA55C5" w:rsidRDefault="00000000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 xml:space="preserve">Nový stav : </w:t>
      </w: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ab/>
      </w:r>
      <w:r>
        <w:rPr>
          <w:rFonts w:ascii="Arial" w:eastAsia="SimSun" w:hAnsi="Arial" w:cs="font1263"/>
          <w:sz w:val="20"/>
          <w:szCs w:val="20"/>
          <w:lang w:eastAsia="ar-SA"/>
          <w14:ligatures w14:val="none"/>
        </w:rPr>
        <w:tab/>
        <w:t xml:space="preserve">188,0 m2 </w:t>
      </w:r>
      <w:r>
        <w:rPr>
          <w:rFonts w:ascii="Arial" w:eastAsia="SimSun" w:hAnsi="Arial" w:cs="Times New Roman"/>
          <w:sz w:val="20"/>
          <w:szCs w:val="20"/>
          <w:lang w:eastAsia="ar-SA"/>
          <w14:ligatures w14:val="none"/>
        </w:rPr>
        <w:t xml:space="preserve">(počítáno dle SZ  § 2 odst. 7 zákona), vč.zateplení  (bez započtení přesahu stříšky u výtahu bez podpěrného bodu) </w:t>
      </w:r>
    </w:p>
    <w:p w14:paraId="39BD5977" w14:textId="77777777" w:rsidR="00DA55C5" w:rsidRDefault="00DA55C5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</w:p>
    <w:p w14:paraId="301DFF80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c)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podlahová plocha,</w:t>
      </w:r>
    </w:p>
    <w:p w14:paraId="09DFA01A" w14:textId="77777777" w:rsidR="00DA55C5" w:rsidRDefault="00000000">
      <w:pPr>
        <w:suppressAutoHyphens/>
        <w:spacing w:after="11"/>
        <w:jc w:val="both"/>
        <w:rPr>
          <w:rFonts w:ascii="Arial" w:eastAsia="SimSun" w:hAnsi="Arial" w:cs="Times New Roman"/>
          <w:sz w:val="20"/>
          <w:szCs w:val="20"/>
          <w:lang w:eastAsia="ar-SA"/>
          <w14:ligatures w14:val="none"/>
        </w:rPr>
      </w:pPr>
      <w:r>
        <w:rPr>
          <w:rFonts w:ascii="Arial" w:eastAsia="SimSun" w:hAnsi="Arial" w:cs="Times New Roman"/>
          <w:sz w:val="20"/>
          <w:szCs w:val="20"/>
          <w:lang w:eastAsia="ar-SA"/>
          <w14:ligatures w14:val="none"/>
        </w:rPr>
        <w:t>Podlahová plocha bytových jednotek :</w:t>
      </w:r>
    </w:p>
    <w:p w14:paraId="429870D9" w14:textId="77777777" w:rsidR="00BE48D0" w:rsidRDefault="00BE48D0">
      <w:pPr>
        <w:suppressAutoHyphens/>
        <w:spacing w:after="11"/>
        <w:jc w:val="both"/>
        <w:rPr>
          <w:rFonts w:ascii="Arial" w:eastAsia="SimSun" w:hAnsi="Arial" w:cs="Times New Roman"/>
          <w:sz w:val="20"/>
          <w:szCs w:val="20"/>
          <w:lang w:eastAsia="ar-SA"/>
          <w14:ligatures w14:val="none"/>
        </w:rPr>
      </w:pPr>
    </w:p>
    <w:p w14:paraId="5650CA99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cs-CZ"/>
          <w14:ligatures w14:val="none"/>
        </w:rPr>
        <w:t>Podlahové plochy bytů m2 (už.plocha) :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  <w:t>O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cs-CZ"/>
          <w14:ligatures w14:val="none"/>
        </w:rPr>
        <w:t>bytné plochy bytů :</w:t>
      </w:r>
    </w:p>
    <w:p w14:paraId="7479316F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byt B1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29,80 m2 (28,6)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B1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21,05 m2</w:t>
      </w:r>
    </w:p>
    <w:p w14:paraId="686A7811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B2 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26,95 m2 (25,3)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B2 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21,70 m2</w:t>
      </w:r>
    </w:p>
    <w:p w14:paraId="578D110C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B3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46,30 m2(43,8)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B3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35,80 m2</w:t>
      </w:r>
    </w:p>
    <w:p w14:paraId="59D3D046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B4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29,70 m2(28,5)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B4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20,95 m2</w:t>
      </w:r>
    </w:p>
    <w:p w14:paraId="2DEA023F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B5 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27,40 m2 (26,7)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B5 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>–  22,80 m2</w:t>
      </w:r>
    </w:p>
    <w:p w14:paraId="0564E52F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B6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46,30 m2 (43,8)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B6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35,80 m2</w:t>
      </w:r>
    </w:p>
    <w:p w14:paraId="0AB8FBB1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B7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35,00 m2 (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22,9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B7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1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8,65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 m2</w:t>
      </w:r>
    </w:p>
    <w:p w14:paraId="759C70F1" w14:textId="77777777" w:rsidR="00BE48D0" w:rsidRPr="003B4B34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B8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31,20 m2 (26,4)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byt B8 </w:t>
      </w:r>
      <w:r w:rsidRPr="003B4B34"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ab/>
        <w:t xml:space="preserve"> – 18,70 m2</w:t>
      </w:r>
    </w:p>
    <w:p w14:paraId="0DA5BDDF" w14:textId="77777777" w:rsidR="00BE48D0" w:rsidRDefault="00BE48D0" w:rsidP="00BE48D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  <w:t>Celkem : 272,65 m2 (25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1,6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)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ab/>
        <w:t>Celkem : 19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5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 xml:space="preserve">45 </w:t>
      </w:r>
      <w:r w:rsidRPr="003B4B34"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m2</w:t>
      </w:r>
    </w:p>
    <w:p w14:paraId="2B664C78" w14:textId="77777777" w:rsidR="00BE48D0" w:rsidRDefault="00BE48D0">
      <w:pPr>
        <w:suppressAutoHyphens/>
        <w:spacing w:after="11"/>
        <w:jc w:val="both"/>
        <w:rPr>
          <w:rFonts w:ascii="Arial" w:eastAsia="SimSun" w:hAnsi="Arial" w:cs="Times New Roman"/>
          <w:sz w:val="20"/>
          <w:szCs w:val="20"/>
          <w:lang w:eastAsia="ar-SA"/>
          <w14:ligatures w14:val="none"/>
        </w:rPr>
      </w:pPr>
    </w:p>
    <w:p w14:paraId="6E7B7655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d)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počet podzemních podlaží,</w:t>
      </w:r>
    </w:p>
    <w:p w14:paraId="11778E59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329C9C5D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1 podzemní podlaží ( částečně podsklepeno) úr.podlahy 1.pp pod okolním  terénem 1,67 m.</w:t>
      </w:r>
    </w:p>
    <w:p w14:paraId="3D275FD2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2A93D26F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e)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počet nadzemních podlaží,</w:t>
      </w:r>
    </w:p>
    <w:p w14:paraId="03FCA952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0EF85CB9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2 nadzemní podlaží s konstrukční výškou 3,60 m + podkroví pod šikmou střechou.</w:t>
      </w:r>
    </w:p>
    <w:p w14:paraId="6909E5F1" w14:textId="77777777" w:rsidR="00DA55C5" w:rsidRDefault="00DA55C5">
      <w:pPr>
        <w:suppressAutoHyphens/>
        <w:spacing w:after="11"/>
        <w:jc w:val="both"/>
        <w:rPr>
          <w:rFonts w:ascii="Arial" w:eastAsia="SimSun" w:hAnsi="Arial" w:cs="font1263"/>
          <w:sz w:val="20"/>
          <w:szCs w:val="20"/>
          <w:lang w:eastAsia="ar-SA"/>
          <w14:ligatures w14:val="none"/>
        </w:rPr>
      </w:pPr>
    </w:p>
    <w:p w14:paraId="3BC74C5B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f)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způsob využití,</w:t>
      </w:r>
    </w:p>
    <w:p w14:paraId="67C917EC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28A7A2E9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bytový dům</w:t>
      </w:r>
    </w:p>
    <w:p w14:paraId="422186E2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1B405575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  <w14:ligatures w14:val="none"/>
        </w:rPr>
        <w:t>g)</w:t>
      </w: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 druh konstrukce,</w:t>
      </w:r>
    </w:p>
    <w:p w14:paraId="0E1B3CAD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45F38427" w14:textId="77777777" w:rsidR="00DA55C5" w:rsidRDefault="00000000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  <w:r>
        <w:rPr>
          <w:rFonts w:ascii="Arial" w:eastAsia="Times New Roman" w:hAnsi="Arial" w:cs="Arial"/>
          <w:sz w:val="20"/>
          <w:szCs w:val="20"/>
          <w:lang w:eastAsia="ar-SA"/>
          <w14:ligatures w14:val="none"/>
        </w:rPr>
        <w:t>Smíšená, tradiční zděná s klenbovými stropy nad 1.pp a trámovými polospalnými stropy nad 1.np a 2.np. Krov ve 3.np dřevěný, klasická stojatá stolice s plnými vazbami, vynášejícími vaznice pod krokve.</w:t>
      </w:r>
    </w:p>
    <w:p w14:paraId="2A2194B3" w14:textId="77777777" w:rsidR="00DA55C5" w:rsidRDefault="00DA55C5">
      <w:pPr>
        <w:shd w:val="clear" w:color="auto" w:fill="FFFFFF"/>
        <w:suppressAutoHyphens/>
        <w:spacing w:after="0" w:line="100" w:lineRule="atLeast"/>
        <w:ind w:left="1560"/>
        <w:jc w:val="both"/>
        <w:rPr>
          <w:rFonts w:ascii="Calibri" w:eastAsia="SimSun" w:hAnsi="Calibri" w:cs="font1263"/>
          <w:lang w:eastAsia="ar-SA"/>
          <w14:ligatures w14:val="none"/>
        </w:rPr>
      </w:pPr>
    </w:p>
    <w:p w14:paraId="65526A45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h)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způsob vytápění,</w:t>
      </w:r>
    </w:p>
    <w:p w14:paraId="25C3D1B4" w14:textId="77777777" w:rsidR="00DA55C5" w:rsidRDefault="00000000">
      <w:pPr>
        <w:ind w:left="1560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ústřední teplovodní vytápění s dvoutrubkovou uzavřenou protiproudou soustavou s ocelovými radiátory (desková tělesa a topné žebříky). Centrální zdroj tepla pro vytápění je plynový kondenzační kotel 24 kW v 1.PP, regulovaný ekvitermně dle venkovní teploty.   </w:t>
      </w:r>
    </w:p>
    <w:p w14:paraId="6450AAC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i)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přípojka vodovodu</w:t>
      </w:r>
    </w:p>
    <w:p w14:paraId="05B54E19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stávající vodovodní přípojka PE DN25 (32x3mm), napojená z vodovodního řádu v ulici Tovární. Přípojka je přivedena do 1.PP, kde je ukončena hlavním uzávěrem vody G 1“ a fakturačním vodoměrem Qn4.    </w:t>
      </w:r>
    </w:p>
    <w:p w14:paraId="1781BD79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674E7AC2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j)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přípojka kanalizační sítě</w:t>
      </w:r>
    </w:p>
    <w:p w14:paraId="48C86055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stávající přípojka jednotné kanalizace KM DN150, napojená na městskou stoku jednotné kanalizace DN400 v ulici Tovární přes revizní šachtu před budovou</w:t>
      </w:r>
    </w:p>
    <w:p w14:paraId="4A248062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755E11D4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k)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přípojka plynu</w:t>
      </w:r>
    </w:p>
    <w:p w14:paraId="34DEF73D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stávající nízkotlaká přípojka OC DN50 z plynovodního řádu v ulici Tovární. Hlavní uzávěr plynu G 2“ je umístěn ve výklenku venkovního zdiva, fakturační plynoměr G4 je v 1.PP za obvodovou stěnou.</w:t>
      </w:r>
    </w:p>
    <w:p w14:paraId="68BFB780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1DEF8943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l)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výtah.</w:t>
      </w:r>
    </w:p>
    <w:p w14:paraId="0971881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Osobní trakční, bezstrojovnový,  invalidní (změna stavby) :</w:t>
      </w:r>
    </w:p>
    <w:p w14:paraId="637D948B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Pro vertikální dopravu osob je navržen  z 1.pp do 3.np objektu do nové výtahové šachty, průchozí trakční výtah, produktové řady Schindler 3000  s nosností 535 kg / 7 osob.</w:t>
      </w:r>
    </w:p>
    <w:p w14:paraId="63B88451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Technické řešení tohoto výtahu je zpracováno s ohledem na bezpečnostní předpisy pro konstrukci a montáž výtahů, dané aktuální normou ČSN EN 81-1+A3:2010.</w:t>
      </w:r>
    </w:p>
    <w:p w14:paraId="38B8FFE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lastRenderedPageBreak/>
        <w:t>Výtah v souladu s požadavkem zákazníka splňuje podmínky pro přepravu osob s omezenou schopností pohybu a orientace dle  EN 81-70 (změna stavby).</w:t>
      </w:r>
    </w:p>
    <w:p w14:paraId="2C3D1628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 xml:space="preserve">Pohonem výtahu je lanový, trakční výtahový stroj  – pohon s frekvenčním měničem s rekuperací. </w:t>
      </w:r>
    </w:p>
    <w:p w14:paraId="3E87D7F2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Řízení se sběrem směrem do hlavní stanice.</w:t>
      </w:r>
    </w:p>
    <w:p w14:paraId="0F18E341" w14:textId="77777777" w:rsidR="006A1A88" w:rsidRDefault="006A1A88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7C742977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0F67B02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A.4 Atributy stavby pro stanovení podmínek napojení a provádění činností v ochranných a bezpečnostních pásmech dopravní a technické infrastruktury</w:t>
      </w:r>
    </w:p>
    <w:p w14:paraId="17DE37DE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4311F5B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a) hloubka stavby,</w:t>
      </w:r>
    </w:p>
    <w:p w14:paraId="230D7FC6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Maximální hloubka stavby je v podsklepené části 1.podzemního podlaží na úrovni -2,42 ( tj. 1,67 m pod okolním terénem, který má úroveň -0,75 od podlahy 1.np). Odhad výšky stávajících základů u této části 1.pp činí max.500 mm, tedy základová spára v úr. -2,92 ( 2,17 m pod okolním terénem).</w:t>
      </w:r>
    </w:p>
    <w:p w14:paraId="57EB8B2C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76CB1DBC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b) výška stavby,</w:t>
      </w:r>
    </w:p>
    <w:p w14:paraId="6940AF5B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Maximální výška stavby nad chodníkem v ul.Tovární – hřeben hlavní sedlové střechy = 11,75 m nad okolním terénem.</w:t>
      </w:r>
    </w:p>
    <w:p w14:paraId="719422C7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Maximální výška stavby nad zpevněnou plochou ve dvorní části – atika výtahové šachty = 12,165 m nad okolním terénem.</w:t>
      </w:r>
    </w:p>
    <w:p w14:paraId="5B071BA3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3ABC130F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c)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předpokládaná kapacita počtu osob ve stavbě,</w:t>
      </w:r>
    </w:p>
    <w:p w14:paraId="5C33EDEE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4F3BA83D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12-14</w:t>
      </w:r>
    </w:p>
    <w:p w14:paraId="3EB211C3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50604B5E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cs-CZ"/>
          <w14:ligatures w14:val="none"/>
        </w:rPr>
        <w:t>d)</w:t>
      </w: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 plánovaný začátek a konec realizace stavby.</w:t>
      </w:r>
    </w:p>
    <w:p w14:paraId="193833B6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1C248970" w14:textId="77777777" w:rsidR="00DA55C5" w:rsidRDefault="00000000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  <w:t>8/2025-12/2026</w:t>
      </w:r>
    </w:p>
    <w:p w14:paraId="40B949A1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p w14:paraId="1F4A8B51" w14:textId="77777777" w:rsidR="00DA55C5" w:rsidRDefault="00DA55C5">
      <w:pPr>
        <w:shd w:val="clear" w:color="auto" w:fill="FFFFFF"/>
        <w:spacing w:after="0" w:line="24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cs-CZ"/>
          <w14:ligatures w14:val="none"/>
        </w:rPr>
      </w:pPr>
    </w:p>
    <w:sectPr w:rsidR="00DA55C5" w:rsidSect="005A2D97">
      <w:headerReference w:type="default" r:id="rId7"/>
      <w:footerReference w:type="default" r:id="rId8"/>
      <w:pgSz w:w="11906" w:h="16838" w:code="9"/>
      <w:pgMar w:top="1255" w:right="900" w:bottom="1437" w:left="238" w:header="709" w:footer="709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15CEA" w14:textId="77777777" w:rsidR="007B3492" w:rsidRDefault="007B3492">
      <w:pPr>
        <w:spacing w:after="0" w:line="240" w:lineRule="auto"/>
      </w:pPr>
      <w:r>
        <w:separator/>
      </w:r>
    </w:p>
  </w:endnote>
  <w:endnote w:type="continuationSeparator" w:id="0">
    <w:p w14:paraId="633009A4" w14:textId="77777777" w:rsidR="007B3492" w:rsidRDefault="007B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3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2ED3F" w14:textId="77777777" w:rsidR="00DA55C5" w:rsidRDefault="00DA55C5">
    <w:pPr>
      <w:pStyle w:val="Zpat"/>
      <w:ind w:left="37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BDC07" w14:textId="77777777" w:rsidR="007B3492" w:rsidRDefault="007B3492">
      <w:pPr>
        <w:spacing w:after="0" w:line="240" w:lineRule="auto"/>
      </w:pPr>
      <w:r>
        <w:separator/>
      </w:r>
    </w:p>
  </w:footnote>
  <w:footnote w:type="continuationSeparator" w:id="0">
    <w:p w14:paraId="237910A7" w14:textId="77777777" w:rsidR="007B3492" w:rsidRDefault="007B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4733883"/>
      <w:docPartObj>
        <w:docPartGallery w:val="Page Numbers (Top of Page)"/>
        <w:docPartUnique/>
      </w:docPartObj>
    </w:sdtPr>
    <w:sdtContent>
      <w:p w14:paraId="30979A9E" w14:textId="77777777" w:rsidR="00DA55C5" w:rsidRDefault="00000000">
        <w:pPr>
          <w:pStyle w:val="Zhlav"/>
          <w:ind w:left="3742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14:paraId="431362FC" w14:textId="77777777" w:rsidR="00DA55C5" w:rsidRDefault="00DA55C5">
    <w:pPr>
      <w:pStyle w:val="Zhlav"/>
      <w:ind w:left="37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651C4"/>
    <w:multiLevelType w:val="multilevel"/>
    <w:tmpl w:val="39C8F6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2FE4763"/>
    <w:multiLevelType w:val="multilevel"/>
    <w:tmpl w:val="D2A6C780"/>
    <w:lvl w:ilvl="0">
      <w:start w:val="1"/>
      <w:numFmt w:val="lowerLetter"/>
      <w:lvlText w:val="%1)"/>
      <w:lvlJc w:val="left"/>
      <w:pPr>
        <w:ind w:left="19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num w:numId="1" w16cid:durableId="877543968">
    <w:abstractNumId w:val="1"/>
  </w:num>
  <w:num w:numId="2" w16cid:durableId="212595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C5"/>
    <w:rsid w:val="00106A4F"/>
    <w:rsid w:val="001153AD"/>
    <w:rsid w:val="001165A6"/>
    <w:rsid w:val="00182488"/>
    <w:rsid w:val="001D4CB3"/>
    <w:rsid w:val="00237159"/>
    <w:rsid w:val="002A0146"/>
    <w:rsid w:val="00343B6A"/>
    <w:rsid w:val="00362E8D"/>
    <w:rsid w:val="0042579B"/>
    <w:rsid w:val="005141D3"/>
    <w:rsid w:val="0056721E"/>
    <w:rsid w:val="005A2D97"/>
    <w:rsid w:val="005C0171"/>
    <w:rsid w:val="00607163"/>
    <w:rsid w:val="006641AA"/>
    <w:rsid w:val="0066466A"/>
    <w:rsid w:val="006A1A88"/>
    <w:rsid w:val="0070110F"/>
    <w:rsid w:val="007271D2"/>
    <w:rsid w:val="00755EA1"/>
    <w:rsid w:val="007B3492"/>
    <w:rsid w:val="00842085"/>
    <w:rsid w:val="00894E1E"/>
    <w:rsid w:val="008B0AA8"/>
    <w:rsid w:val="008F574D"/>
    <w:rsid w:val="0093648D"/>
    <w:rsid w:val="00A13C64"/>
    <w:rsid w:val="00A9225F"/>
    <w:rsid w:val="00AA17AA"/>
    <w:rsid w:val="00AC0B80"/>
    <w:rsid w:val="00AF0EC9"/>
    <w:rsid w:val="00B077E3"/>
    <w:rsid w:val="00B50305"/>
    <w:rsid w:val="00BC6B66"/>
    <w:rsid w:val="00BE48D0"/>
    <w:rsid w:val="00D43CF1"/>
    <w:rsid w:val="00D841E2"/>
    <w:rsid w:val="00DA55C5"/>
    <w:rsid w:val="00DA61F5"/>
    <w:rsid w:val="00E63C88"/>
    <w:rsid w:val="00F17855"/>
    <w:rsid w:val="00F3639E"/>
    <w:rsid w:val="00F55061"/>
    <w:rsid w:val="00F7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8154"/>
  <w15:docId w15:val="{4FCA3FFF-B0F9-4A39-A90F-52CDD86C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  <w:ind w:left="170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80647F"/>
  </w:style>
  <w:style w:type="character" w:customStyle="1" w:styleId="ZpatChar">
    <w:name w:val="Zápatí Char"/>
    <w:basedOn w:val="Standardnpsmoodstavce"/>
    <w:link w:val="Zpat"/>
    <w:uiPriority w:val="99"/>
    <w:qFormat/>
    <w:rsid w:val="0080647F"/>
  </w:style>
  <w:style w:type="character" w:customStyle="1" w:styleId="ListLabel1">
    <w:name w:val="ListLabel 1"/>
    <w:qFormat/>
    <w:rPr>
      <w:rFonts w:ascii="Arial" w:hAnsi="Arial"/>
      <w:b/>
      <w:sz w:val="20"/>
    </w:rPr>
  </w:style>
  <w:style w:type="character" w:styleId="PromnnHTML">
    <w:name w:val="HTML Variable"/>
    <w:qFormat/>
    <w:rPr>
      <w:i/>
      <w:i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94499D"/>
    <w:pPr>
      <w:ind w:left="720"/>
      <w:contextualSpacing/>
    </w:pPr>
  </w:style>
  <w:style w:type="paragraph" w:customStyle="1" w:styleId="l6">
    <w:name w:val="l6"/>
    <w:basedOn w:val="Normln"/>
    <w:qFormat/>
    <w:rsid w:val="004B5586"/>
    <w:pPr>
      <w:spacing w:before="280" w:after="280" w:line="240" w:lineRule="auto"/>
      <w:ind w:left="0"/>
    </w:pPr>
    <w:rPr>
      <w:rFonts w:ascii="Times New Roman" w:eastAsia="Times New Roman" w:hAnsi="Times New Roman" w:cs="Times New Roman"/>
      <w:color w:val="00000A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0647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80647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1074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Czeslaw Mendrek</dc:creator>
  <dc:description/>
  <cp:lastModifiedBy>Czeslaw Mendrek</cp:lastModifiedBy>
  <cp:revision>7</cp:revision>
  <cp:lastPrinted>2024-12-06T10:14:00Z</cp:lastPrinted>
  <dcterms:created xsi:type="dcterms:W3CDTF">2025-01-21T11:51:00Z</dcterms:created>
  <dcterms:modified xsi:type="dcterms:W3CDTF">2025-06-24T11:06:00Z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